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668D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Sygn. akt: I </w:t>
      </w:r>
      <w:proofErr w:type="spellStart"/>
      <w:r>
        <w:rPr>
          <w:rFonts w:ascii="Book Antiqua" w:eastAsia="Arial Unicode MS" w:hAnsi="Book Antiqua" w:cs="Arial"/>
        </w:rPr>
        <w:t>Ns</w:t>
      </w:r>
      <w:proofErr w:type="spellEnd"/>
      <w:r>
        <w:rPr>
          <w:rFonts w:ascii="Book Antiqua" w:eastAsia="Arial Unicode MS" w:hAnsi="Book Antiqua" w:cs="Arial"/>
        </w:rPr>
        <w:t xml:space="preserve"> 130/20</w:t>
      </w:r>
    </w:p>
    <w:p w14:paraId="3553F4D5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                                                                                           Świecie, dnia 15 września 2021 r.</w:t>
      </w:r>
    </w:p>
    <w:p w14:paraId="70E45F66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</w:p>
    <w:p w14:paraId="042CCBF6" w14:textId="77777777" w:rsidR="00D936F7" w:rsidRDefault="00D936F7" w:rsidP="00D936F7">
      <w:pPr>
        <w:keepNext/>
        <w:jc w:val="center"/>
        <w:outlineLvl w:val="0"/>
        <w:rPr>
          <w:rFonts w:ascii="Book Antiqua" w:eastAsia="Arial Unicode MS" w:hAnsi="Book Antiqua" w:cs="Arial"/>
          <w:b/>
          <w:sz w:val="28"/>
        </w:rPr>
      </w:pPr>
      <w:r>
        <w:rPr>
          <w:rFonts w:ascii="Book Antiqua" w:eastAsia="Arial Unicode MS" w:hAnsi="Book Antiqua" w:cs="Arial"/>
          <w:b/>
          <w:sz w:val="28"/>
        </w:rPr>
        <w:t>P O S T A N O W I E N I E</w:t>
      </w:r>
    </w:p>
    <w:p w14:paraId="4599523E" w14:textId="77777777" w:rsidR="00D936F7" w:rsidRDefault="00D936F7" w:rsidP="00D936F7">
      <w:pPr>
        <w:spacing w:line="360" w:lineRule="auto"/>
        <w:jc w:val="right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  <w:t xml:space="preserve"> </w:t>
      </w:r>
    </w:p>
    <w:p w14:paraId="25F4DF01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Referendarz sądowy Lucyna Jasińska </w:t>
      </w:r>
    </w:p>
    <w:p w14:paraId="3E1BF1F8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W Sądzie Rejonowym w Świeciu I Wydział Cywilny</w:t>
      </w:r>
    </w:p>
    <w:p w14:paraId="511E914F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</w:p>
    <w:p w14:paraId="1CB951DA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po rozpoznaniu w dniu 15 września 2021 r. w Świeciu </w:t>
      </w:r>
    </w:p>
    <w:p w14:paraId="0C85DCFC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na posiedzeniu niejawnym </w:t>
      </w:r>
    </w:p>
    <w:p w14:paraId="067B5949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  <w:b/>
        </w:rPr>
      </w:pPr>
      <w:r>
        <w:rPr>
          <w:rFonts w:ascii="Book Antiqua" w:eastAsia="Arial Unicode MS" w:hAnsi="Book Antiqua" w:cs="Arial"/>
        </w:rPr>
        <w:t>sprawy z wniosku</w:t>
      </w:r>
      <w:r>
        <w:rPr>
          <w:rFonts w:ascii="Book Antiqua" w:eastAsia="Arial Unicode MS" w:hAnsi="Book Antiqua" w:cs="Arial"/>
          <w:b/>
        </w:rPr>
        <w:t xml:space="preserve"> Adama </w:t>
      </w:r>
      <w:proofErr w:type="spellStart"/>
      <w:r>
        <w:rPr>
          <w:rFonts w:ascii="Book Antiqua" w:eastAsia="Arial Unicode MS" w:hAnsi="Book Antiqua" w:cs="Arial"/>
          <w:b/>
        </w:rPr>
        <w:t>Blechman</w:t>
      </w:r>
      <w:proofErr w:type="spellEnd"/>
    </w:p>
    <w:p w14:paraId="451CFFAA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z udziałem</w:t>
      </w:r>
      <w:r>
        <w:rPr>
          <w:rFonts w:ascii="Book Antiqua" w:eastAsia="Arial Unicode MS" w:hAnsi="Book Antiqua" w:cs="Arial"/>
          <w:b/>
        </w:rPr>
        <w:t xml:space="preserve">: Tomasza </w:t>
      </w:r>
      <w:proofErr w:type="spellStart"/>
      <w:r>
        <w:rPr>
          <w:rFonts w:ascii="Book Antiqua" w:eastAsia="Arial Unicode MS" w:hAnsi="Book Antiqua" w:cs="Arial"/>
          <w:b/>
        </w:rPr>
        <w:t>Blechman</w:t>
      </w:r>
      <w:proofErr w:type="spellEnd"/>
      <w:r>
        <w:rPr>
          <w:rFonts w:ascii="Book Antiqua" w:eastAsia="Arial Unicode MS" w:hAnsi="Book Antiqua" w:cs="Arial"/>
          <w:b/>
        </w:rPr>
        <w:t xml:space="preserve">, Marka </w:t>
      </w:r>
      <w:proofErr w:type="spellStart"/>
      <w:r>
        <w:rPr>
          <w:rFonts w:ascii="Book Antiqua" w:eastAsia="Arial Unicode MS" w:hAnsi="Book Antiqua" w:cs="Arial"/>
          <w:b/>
        </w:rPr>
        <w:t>Blechamn</w:t>
      </w:r>
      <w:proofErr w:type="spellEnd"/>
      <w:r>
        <w:rPr>
          <w:rFonts w:ascii="Book Antiqua" w:eastAsia="Arial Unicode MS" w:hAnsi="Book Antiqua" w:cs="Arial"/>
          <w:b/>
        </w:rPr>
        <w:t>, Tomasza Porowskiego, Gabrieli Sobkowiak-</w:t>
      </w:r>
      <w:proofErr w:type="spellStart"/>
      <w:r>
        <w:rPr>
          <w:rFonts w:ascii="Book Antiqua" w:eastAsia="Arial Unicode MS" w:hAnsi="Book Antiqua" w:cs="Arial"/>
          <w:b/>
        </w:rPr>
        <w:t>Blechman</w:t>
      </w:r>
      <w:proofErr w:type="spellEnd"/>
      <w:r>
        <w:rPr>
          <w:rFonts w:ascii="Book Antiqua" w:eastAsia="Arial Unicode MS" w:hAnsi="Book Antiqua" w:cs="Arial"/>
        </w:rPr>
        <w:t xml:space="preserve"> </w:t>
      </w:r>
    </w:p>
    <w:p w14:paraId="0488F4CD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o sporządzenie spisu inwentarza spadku po Zbigniewie </w:t>
      </w:r>
      <w:proofErr w:type="spellStart"/>
      <w:r>
        <w:rPr>
          <w:rFonts w:ascii="Book Antiqua" w:eastAsia="Arial Unicode MS" w:hAnsi="Book Antiqua" w:cs="Arial"/>
        </w:rPr>
        <w:t>Blechman</w:t>
      </w:r>
      <w:proofErr w:type="spellEnd"/>
      <w:r>
        <w:rPr>
          <w:rFonts w:ascii="Book Antiqua" w:eastAsia="Arial Unicode MS" w:hAnsi="Book Antiqua" w:cs="Arial"/>
        </w:rPr>
        <w:t xml:space="preserve"> </w:t>
      </w:r>
    </w:p>
    <w:p w14:paraId="1524205C" w14:textId="77777777" w:rsidR="00D936F7" w:rsidRDefault="00D936F7" w:rsidP="00D936F7">
      <w:pPr>
        <w:spacing w:line="360" w:lineRule="auto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- zmarłym 30.04.2018 r. Zbigniewie </w:t>
      </w:r>
      <w:proofErr w:type="spellStart"/>
      <w:r>
        <w:rPr>
          <w:rFonts w:ascii="Book Antiqua" w:eastAsia="Arial Unicode MS" w:hAnsi="Book Antiqua" w:cs="Arial"/>
        </w:rPr>
        <w:t>Blechman</w:t>
      </w:r>
      <w:proofErr w:type="spellEnd"/>
      <w:r>
        <w:rPr>
          <w:rFonts w:ascii="Book Antiqua" w:eastAsia="Arial Unicode MS" w:hAnsi="Book Antiqua" w:cs="Arial"/>
        </w:rPr>
        <w:t xml:space="preserve"> </w:t>
      </w:r>
    </w:p>
    <w:p w14:paraId="25FA32A1" w14:textId="77777777" w:rsidR="00D936F7" w:rsidRDefault="00D936F7" w:rsidP="00D936F7">
      <w:pPr>
        <w:spacing w:line="360" w:lineRule="auto"/>
        <w:jc w:val="both"/>
        <w:rPr>
          <w:rFonts w:ascii="Book Antiqua" w:eastAsia="Arial Unicode MS" w:hAnsi="Book Antiqua" w:cs="Arial"/>
        </w:rPr>
      </w:pPr>
    </w:p>
    <w:p w14:paraId="0A750FBA" w14:textId="77777777" w:rsidR="00D936F7" w:rsidRDefault="00D936F7" w:rsidP="00D936F7">
      <w:pPr>
        <w:spacing w:line="360" w:lineRule="auto"/>
        <w:jc w:val="center"/>
        <w:rPr>
          <w:rFonts w:ascii="Book Antiqua" w:eastAsia="Arial Unicode MS" w:hAnsi="Book Antiqua" w:cs="Arial"/>
          <w:b/>
        </w:rPr>
      </w:pPr>
      <w:r>
        <w:rPr>
          <w:rFonts w:ascii="Book Antiqua" w:eastAsia="Arial Unicode MS" w:hAnsi="Book Antiqua" w:cs="Arial"/>
          <w:b/>
        </w:rPr>
        <w:t>p o s t a n a w i a:</w:t>
      </w:r>
    </w:p>
    <w:p w14:paraId="47E8FFC0" w14:textId="77777777" w:rsidR="00D936F7" w:rsidRDefault="00D936F7" w:rsidP="00D936F7">
      <w:pPr>
        <w:numPr>
          <w:ilvl w:val="0"/>
          <w:numId w:val="5"/>
        </w:numPr>
        <w:spacing w:line="360" w:lineRule="auto"/>
        <w:contextualSpacing/>
        <w:jc w:val="both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 xml:space="preserve">zarządzić sporządzenie spisu inwentarza po Zbigniewie </w:t>
      </w:r>
      <w:proofErr w:type="spellStart"/>
      <w:r>
        <w:rPr>
          <w:rFonts w:ascii="Book Antiqua" w:eastAsia="Arial Unicode MS" w:hAnsi="Book Antiqua" w:cs="Arial"/>
        </w:rPr>
        <w:t>Blechman</w:t>
      </w:r>
      <w:proofErr w:type="spellEnd"/>
      <w:r>
        <w:rPr>
          <w:rFonts w:ascii="Book Antiqua" w:eastAsia="Arial Unicode MS" w:hAnsi="Book Antiqua" w:cs="Arial"/>
        </w:rPr>
        <w:t xml:space="preserve"> - zmarłym 30 kwietnia 2018 roku w Bydgoszczy, ostatnio stale zamieszkałym w Grupie;</w:t>
      </w:r>
    </w:p>
    <w:p w14:paraId="50A856E5" w14:textId="77777777" w:rsidR="00D936F7" w:rsidRDefault="00D936F7" w:rsidP="00D936F7">
      <w:pPr>
        <w:spacing w:line="360" w:lineRule="auto"/>
        <w:ind w:left="1065"/>
        <w:contextualSpacing/>
        <w:jc w:val="both"/>
        <w:rPr>
          <w:rFonts w:ascii="Book Antiqua" w:eastAsia="Arial Unicode MS" w:hAnsi="Book Antiqua" w:cs="Arial"/>
        </w:rPr>
      </w:pPr>
    </w:p>
    <w:p w14:paraId="651A697A" w14:textId="77777777" w:rsidR="00D936F7" w:rsidRDefault="00D936F7" w:rsidP="00D936F7">
      <w:pPr>
        <w:numPr>
          <w:ilvl w:val="0"/>
          <w:numId w:val="5"/>
        </w:numPr>
        <w:spacing w:line="360" w:lineRule="auto"/>
        <w:contextualSpacing/>
        <w:jc w:val="both"/>
        <w:rPr>
          <w:rFonts w:ascii="Book Antiqua" w:eastAsia="Arial Unicode MS" w:hAnsi="Book Antiqua" w:cs="Arial"/>
        </w:rPr>
      </w:pPr>
      <w:r>
        <w:rPr>
          <w:rFonts w:ascii="Book Antiqua" w:eastAsia="Arial Unicode MS" w:hAnsi="Book Antiqua" w:cs="Arial"/>
        </w:rPr>
        <w:t>ogłosić na tablicy ogłoszeń w Sądzie Rejonowym w Świeciu oraz na stronie internetowej Sądu Rejonowego w Świeciu o wydaniu postanowienia o sporządzeniu spisu inwentarza  z pouczeniem, że osoby wskazane w art. 637 § 1 k.p.c. mogą uczestniczyć w sporządzaniu spisu inwentarza, w szczególności zgłaszać przedmioty należące do spadku, przedmioty zapisów windykacyjnych lub długi spadkowe, które podlegają zamieszczeniu w spisie inwentarza;</w:t>
      </w:r>
    </w:p>
    <w:p w14:paraId="414D68CD" w14:textId="77777777" w:rsidR="00D936F7" w:rsidRDefault="00D936F7" w:rsidP="00D936F7">
      <w:pPr>
        <w:spacing w:line="360" w:lineRule="auto"/>
        <w:jc w:val="both"/>
        <w:rPr>
          <w:rFonts w:ascii="Book Antiqua" w:eastAsia="Arial Unicode MS" w:hAnsi="Book Antiqua" w:cs="Arial"/>
        </w:rPr>
      </w:pPr>
    </w:p>
    <w:p w14:paraId="51BA6780" w14:textId="77777777" w:rsidR="00D936F7" w:rsidRDefault="00D936F7" w:rsidP="00D936F7">
      <w:pPr>
        <w:spacing w:line="360" w:lineRule="auto"/>
        <w:jc w:val="both"/>
        <w:rPr>
          <w:rFonts w:ascii="Book Antiqua" w:eastAsia="Arial Unicode MS" w:hAnsi="Book Antiqua" w:cs="Arial"/>
          <w:i/>
        </w:rPr>
      </w:pP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</w:rPr>
        <w:tab/>
      </w:r>
      <w:r>
        <w:rPr>
          <w:rFonts w:ascii="Book Antiqua" w:eastAsia="Arial Unicode MS" w:hAnsi="Book Antiqua" w:cs="Arial"/>
          <w:i/>
          <w:sz w:val="22"/>
        </w:rPr>
        <w:t xml:space="preserve">                                              </w:t>
      </w:r>
      <w:r>
        <w:rPr>
          <w:rFonts w:ascii="Book Antiqua" w:eastAsia="Arial Unicode MS" w:hAnsi="Book Antiqua" w:cs="Arial"/>
          <w:i/>
          <w:sz w:val="22"/>
        </w:rPr>
        <w:tab/>
      </w:r>
      <w:r>
        <w:rPr>
          <w:rFonts w:ascii="Book Antiqua" w:eastAsia="Arial Unicode MS" w:hAnsi="Book Antiqua" w:cs="Arial"/>
          <w:i/>
          <w:sz w:val="20"/>
        </w:rPr>
        <w:t xml:space="preserve">Referendarz sądowy Lucyna Jasińska </w:t>
      </w:r>
    </w:p>
    <w:p w14:paraId="3F28A9FC" w14:textId="5474C70E" w:rsidR="000D2F47" w:rsidRPr="00D936F7" w:rsidRDefault="000D2F47" w:rsidP="00D936F7"/>
    <w:sectPr w:rsidR="000D2F47" w:rsidRPr="00D9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608"/>
    <w:multiLevelType w:val="hybridMultilevel"/>
    <w:tmpl w:val="E5466758"/>
    <w:lvl w:ilvl="0" w:tplc="E804928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00275"/>
    <w:multiLevelType w:val="multilevel"/>
    <w:tmpl w:val="017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B5262"/>
    <w:multiLevelType w:val="multilevel"/>
    <w:tmpl w:val="89E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7"/>
    <w:rsid w:val="000D2F47"/>
    <w:rsid w:val="0045201C"/>
    <w:rsid w:val="004F5409"/>
    <w:rsid w:val="00A07D66"/>
    <w:rsid w:val="00CA22A7"/>
    <w:rsid w:val="00D936F7"/>
    <w:rsid w:val="00E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4D5"/>
  <w15:chartTrackingRefBased/>
  <w15:docId w15:val="{B4A7AFC6-6E40-41A4-8F05-01F8E0B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Sienkiewicz</dc:creator>
  <cp:keywords/>
  <dc:description/>
  <cp:lastModifiedBy>Sienkiewicz Natalia</cp:lastModifiedBy>
  <cp:revision>6</cp:revision>
  <dcterms:created xsi:type="dcterms:W3CDTF">2021-09-10T10:26:00Z</dcterms:created>
  <dcterms:modified xsi:type="dcterms:W3CDTF">2021-09-16T09:51:00Z</dcterms:modified>
</cp:coreProperties>
</file>